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4C6E88">
        <w:rPr>
          <w:color w:val="000000" w:themeColor="text1"/>
          <w:sz w:val="20"/>
        </w:rPr>
        <w:t>7</w:t>
      </w:r>
      <w:bookmarkStart w:id="0" w:name="_GoBack"/>
      <w:bookmarkEnd w:id="0"/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383D6F" w:rsidRPr="00383D6F">
        <w:rPr>
          <w:color w:val="000000"/>
          <w:sz w:val="20"/>
        </w:rPr>
        <w:t>6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B33EC0">
        <w:rPr>
          <w:color w:val="000000"/>
          <w:sz w:val="20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2410"/>
      </w:tblGrid>
      <w:tr w:rsidR="0087061E" w:rsidTr="0087061E">
        <w:tc>
          <w:tcPr>
            <w:tcW w:w="1384" w:type="dxa"/>
            <w:shd w:val="clear" w:color="auto" w:fill="FABF8F" w:themeFill="accent6" w:themeFillTint="99"/>
          </w:tcPr>
          <w:p w:rsidR="0087061E" w:rsidRDefault="0087061E" w:rsidP="0000772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87061E" w:rsidRPr="0087061E" w:rsidRDefault="0087061E" w:rsidP="0087061E">
            <w:pPr>
              <w:rPr>
                <w:b/>
                <w:bCs/>
                <w:sz w:val="20"/>
              </w:rPr>
            </w:pPr>
            <w:r w:rsidRPr="0087061E">
              <w:rPr>
                <w:b/>
                <w:bCs/>
                <w:sz w:val="20"/>
              </w:rPr>
              <w:t>Информация поступила к 16 РГ РОА</w:t>
            </w:r>
          </w:p>
        </w:tc>
      </w:tr>
      <w:tr w:rsidR="0087061E" w:rsidTr="0087061E">
        <w:tc>
          <w:tcPr>
            <w:tcW w:w="1384" w:type="dxa"/>
            <w:shd w:val="clear" w:color="auto" w:fill="FDE9D9" w:themeFill="accent6" w:themeFillTint="33"/>
          </w:tcPr>
          <w:p w:rsidR="0087061E" w:rsidRDefault="0087061E" w:rsidP="0000772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87061E" w:rsidRPr="0087061E" w:rsidRDefault="0087061E" w:rsidP="0087061E">
            <w:pPr>
              <w:rPr>
                <w:b/>
                <w:bCs/>
                <w:sz w:val="20"/>
              </w:rPr>
            </w:pPr>
            <w:r w:rsidRPr="0087061E">
              <w:rPr>
                <w:b/>
                <w:bCs/>
                <w:sz w:val="20"/>
              </w:rPr>
              <w:t>Информация поступила к 15 РГ РОА</w:t>
            </w:r>
          </w:p>
        </w:tc>
      </w:tr>
    </w:tbl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151A9A" w:rsidRDefault="00B33EC0" w:rsidP="00151A9A">
      <w:pPr>
        <w:jc w:val="center"/>
        <w:rPr>
          <w:b/>
          <w:bCs/>
          <w:sz w:val="24"/>
          <w:szCs w:val="24"/>
        </w:rPr>
      </w:pPr>
      <w:r w:rsidRPr="00B33EC0">
        <w:rPr>
          <w:b/>
          <w:bCs/>
          <w:sz w:val="24"/>
          <w:szCs w:val="24"/>
        </w:rPr>
        <w:t>«Порядок выбора организаций, предоставляющих услуги по проведению программ проверки квалификации (МЛС). Критерии. Форма учетов провайдеров проверки квалификации»</w:t>
      </w:r>
    </w:p>
    <w:p w:rsidR="0029653A" w:rsidRPr="00ED27D9" w:rsidRDefault="0029653A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83D6F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383D6F" w:rsidRPr="00383D6F">
              <w:rPr>
                <w:rFonts w:ascii="Times New Roman CYR" w:hAnsi="Times New Roman CYR"/>
                <w:sz w:val="20"/>
              </w:rPr>
              <w:t>6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2376"/>
        <w:gridCol w:w="3402"/>
        <w:gridCol w:w="3261"/>
        <w:gridCol w:w="141"/>
        <w:gridCol w:w="4004"/>
      </w:tblGrid>
      <w:tr w:rsidR="009006FD" w:rsidRPr="007067AE" w:rsidTr="009674C5">
        <w:trPr>
          <w:trHeight w:val="461"/>
        </w:trPr>
        <w:tc>
          <w:tcPr>
            <w:tcW w:w="13184" w:type="dxa"/>
            <w:gridSpan w:val="5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D14137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87061E">
        <w:trPr>
          <w:trHeight w:val="461"/>
        </w:trPr>
        <w:tc>
          <w:tcPr>
            <w:tcW w:w="13184" w:type="dxa"/>
            <w:gridSpan w:val="5"/>
            <w:shd w:val="clear" w:color="auto" w:fill="FABF8F" w:themeFill="accent6" w:themeFillTint="99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383D6F" w:rsidRDefault="00383D6F" w:rsidP="00383D6F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(письмо директора ГНО «Национальный орган по аккредитации» </w:t>
            </w:r>
            <w:proofErr w:type="spellStart"/>
            <w:r>
              <w:rPr>
                <w:sz w:val="22"/>
                <w:szCs w:val="22"/>
              </w:rPr>
              <w:t>А.С.Обосян</w:t>
            </w:r>
            <w:proofErr w:type="spellEnd"/>
          </w:p>
          <w:p w:rsidR="009006FD" w:rsidRPr="007067AE" w:rsidRDefault="00383D6F" w:rsidP="00383D6F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АО-488 от 28.07.2022</w:t>
            </w:r>
            <w:r w:rsidR="008A6945">
              <w:rPr>
                <w:sz w:val="22"/>
                <w:szCs w:val="22"/>
              </w:rPr>
              <w:t>)</w:t>
            </w:r>
          </w:p>
        </w:tc>
      </w:tr>
      <w:tr w:rsidR="00383D6F" w:rsidRPr="007067AE" w:rsidTr="0087061E">
        <w:trPr>
          <w:trHeight w:val="461"/>
        </w:trPr>
        <w:tc>
          <w:tcPr>
            <w:tcW w:w="9039" w:type="dxa"/>
            <w:gridSpan w:val="3"/>
            <w:shd w:val="clear" w:color="auto" w:fill="FABF8F" w:themeFill="accent6" w:themeFillTint="99"/>
          </w:tcPr>
          <w:p w:rsidR="00383D6F" w:rsidRPr="00383D6F" w:rsidRDefault="00383D6F" w:rsidP="00383D6F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383D6F">
              <w:rPr>
                <w:sz w:val="22"/>
                <w:szCs w:val="22"/>
              </w:rPr>
              <w:t>Предлагаем из п.4.2 проекта документа исключить слова «Европейские референтные лаборатории (</w:t>
            </w:r>
            <w:r w:rsidRPr="00383D6F">
              <w:rPr>
                <w:sz w:val="22"/>
                <w:szCs w:val="22"/>
                <w:lang w:val="en-US"/>
              </w:rPr>
              <w:t>EURL</w:t>
            </w:r>
            <w:r w:rsidRPr="00383D6F">
              <w:rPr>
                <w:sz w:val="22"/>
                <w:szCs w:val="22"/>
              </w:rPr>
              <w:t>)»</w:t>
            </w:r>
          </w:p>
        </w:tc>
        <w:tc>
          <w:tcPr>
            <w:tcW w:w="4145" w:type="dxa"/>
            <w:gridSpan w:val="2"/>
            <w:shd w:val="clear" w:color="auto" w:fill="FABF8F" w:themeFill="accent6" w:themeFillTint="99"/>
          </w:tcPr>
          <w:p w:rsidR="00383D6F" w:rsidRPr="007067AE" w:rsidRDefault="00383D6F" w:rsidP="00383D6F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</w:tc>
      </w:tr>
      <w:tr w:rsidR="009006FD" w:rsidRPr="007067AE" w:rsidTr="0087061E">
        <w:trPr>
          <w:trHeight w:val="461"/>
        </w:trPr>
        <w:tc>
          <w:tcPr>
            <w:tcW w:w="13184" w:type="dxa"/>
            <w:gridSpan w:val="5"/>
            <w:shd w:val="clear" w:color="auto" w:fill="FDE9D9" w:themeFill="accent6" w:themeFillTint="33"/>
          </w:tcPr>
          <w:p w:rsidR="00EE35C4" w:rsidRDefault="009006FD" w:rsidP="00EE35C4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="00EE35C4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EE35C4" w:rsidRPr="00EE35C4">
              <w:rPr>
                <w:sz w:val="22"/>
                <w:szCs w:val="22"/>
              </w:rPr>
              <w:t xml:space="preserve">письмо </w:t>
            </w:r>
            <w:r w:rsidR="00EE35C4">
              <w:rPr>
                <w:sz w:val="22"/>
                <w:szCs w:val="22"/>
              </w:rPr>
              <w:t>заместителя директора БГЦА Булавиной Е.Р.</w:t>
            </w:r>
          </w:p>
          <w:p w:rsidR="009006FD" w:rsidRPr="007067AE" w:rsidRDefault="00EE35C4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EE35C4">
              <w:rPr>
                <w:sz w:val="22"/>
                <w:szCs w:val="22"/>
              </w:rPr>
              <w:t>№ 07-04/4281 от 01.06.2022)</w:t>
            </w:r>
          </w:p>
        </w:tc>
      </w:tr>
      <w:tr w:rsidR="00F95AFE" w:rsidRPr="007067AE" w:rsidTr="0087061E">
        <w:trPr>
          <w:trHeight w:val="461"/>
        </w:trPr>
        <w:tc>
          <w:tcPr>
            <w:tcW w:w="9039" w:type="dxa"/>
            <w:gridSpan w:val="3"/>
            <w:shd w:val="clear" w:color="auto" w:fill="FDE9D9" w:themeFill="accent6" w:themeFillTint="33"/>
          </w:tcPr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БГЦА рассмотрен проект документа «Порядок выбора организаций, предоставляющих услуги по проведению программ проверки квалификации (МЛС). Критерии. Форма учетов провайдеров проверки квалификации».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bCs/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 xml:space="preserve">С нашей точки зрения проект документа не может быть утвержден в представленной редакции, т.к. требует существенной доработки (при этом доработка документа не связана с положениями </w:t>
            </w:r>
            <w:r w:rsidRPr="00F95AFE">
              <w:rPr>
                <w:bCs/>
                <w:sz w:val="22"/>
                <w:szCs w:val="22"/>
              </w:rPr>
              <w:t>ISO/IEC 17043).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С нашей точки зрения в интересах создаваемого Евразийского сотрудничества по аккредитации (далее – ЕААС) целесообразно установить, что для целей ЕААС применяются результаты работ не всех, но определенных провайдеров проверок квалификации (как это установлено в п. 4.2 проекта документа).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 xml:space="preserve">С учетом того, что каждый провайдер проверки квалификации по собственному усмотрению рекламирует свою деятельность, полагали бы полезным для ЕААС и субъектов, аккредитованных членами ЕААС, располагать сводной информацией о программах проверки квалификации, реализуемых в государствах-членах ЕААС. Официальный сайт ЕААС и иные </w:t>
            </w:r>
            <w:r w:rsidRPr="00F95AFE">
              <w:rPr>
                <w:sz w:val="22"/>
                <w:szCs w:val="22"/>
              </w:rPr>
              <w:lastRenderedPageBreak/>
              <w:t xml:space="preserve">официальные ресурсы ЕААС (возможно, популярные социальные сети) могли бы стать местом размещения такой сводной информации. Примером может служить Европейская электронная информационная система провайдеров проверки квалификации </w:t>
            </w:r>
            <w:hyperlink r:id="rId8" w:history="1">
              <w:r w:rsidRPr="00F95AFE">
                <w:rPr>
                  <w:rStyle w:val="ae"/>
                  <w:sz w:val="22"/>
                  <w:szCs w:val="22"/>
                </w:rPr>
                <w:t>EPTIS</w:t>
              </w:r>
            </w:hyperlink>
            <w:r w:rsidRPr="00F95AFE">
              <w:rPr>
                <w:sz w:val="22"/>
                <w:szCs w:val="22"/>
              </w:rPr>
              <w:t xml:space="preserve">. 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F95AFE">
              <w:rPr>
                <w:i/>
                <w:iCs/>
                <w:sz w:val="22"/>
                <w:szCs w:val="22"/>
              </w:rPr>
              <w:t>Справочно</w:t>
            </w:r>
            <w:proofErr w:type="spellEnd"/>
            <w:r w:rsidRPr="00F95AFE">
              <w:rPr>
                <w:i/>
                <w:iCs/>
                <w:sz w:val="22"/>
                <w:szCs w:val="22"/>
              </w:rPr>
              <w:t xml:space="preserve">: электронная система </w:t>
            </w:r>
            <w:hyperlink r:id="rId9" w:history="1">
              <w:r w:rsidRPr="00F95AFE">
                <w:rPr>
                  <w:rStyle w:val="ae"/>
                  <w:i/>
                  <w:iCs/>
                  <w:sz w:val="22"/>
                  <w:szCs w:val="22"/>
                </w:rPr>
                <w:t>EPTIS</w:t>
              </w:r>
            </w:hyperlink>
            <w:r w:rsidRPr="00F95AFE">
              <w:rPr>
                <w:i/>
                <w:iCs/>
                <w:sz w:val="22"/>
                <w:szCs w:val="22"/>
              </w:rPr>
              <w:t xml:space="preserve"> функционирует с 1998 года и включает сведения более чем о 3000 провайдерах проверки квалификации (охвачены все континенты). Цель EPTIS – содействовать распространению информации о программах проверки квалификации для заинтересованных сторон: аккредитованных субъектов, провайдеров проверки квалификации различных стран и регионов, органов по аккредитации и регулирующих органов.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Предлагаем изучить имеющийся опыт (в т.</w:t>
            </w:r>
            <w:r>
              <w:rPr>
                <w:sz w:val="22"/>
                <w:szCs w:val="22"/>
              </w:rPr>
              <w:t xml:space="preserve"> </w:t>
            </w:r>
            <w:r w:rsidRPr="00F95AFE">
              <w:rPr>
                <w:sz w:val="22"/>
                <w:szCs w:val="22"/>
              </w:rPr>
              <w:t xml:space="preserve">ч. документы) иных региональных организаций по аккредитации в целях продолжения работы над проектом документа. Нам известно, что АРАС весьма активно применяет инструмент проверок квалификации для собственного </w:t>
            </w:r>
            <w:r w:rsidRPr="00F95AFE">
              <w:rPr>
                <w:sz w:val="22"/>
                <w:szCs w:val="22"/>
                <w:lang w:val="en-US"/>
              </w:rPr>
              <w:t>MRA</w:t>
            </w:r>
            <w:r w:rsidRPr="00F95AFE">
              <w:rPr>
                <w:sz w:val="22"/>
                <w:szCs w:val="22"/>
              </w:rPr>
              <w:t xml:space="preserve"> и азиатско-тихоокеанского региона. Аналогичный опыт имеется у межамериканской организации по аккредитации </w:t>
            </w:r>
            <w:r w:rsidRPr="00F95AFE">
              <w:rPr>
                <w:sz w:val="22"/>
                <w:szCs w:val="22"/>
                <w:lang w:val="en-US"/>
              </w:rPr>
              <w:t>IAAC</w:t>
            </w:r>
            <w:r w:rsidRPr="00F95AFE">
              <w:rPr>
                <w:sz w:val="22"/>
                <w:szCs w:val="22"/>
              </w:rPr>
              <w:t>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bCs/>
                <w:sz w:val="22"/>
                <w:szCs w:val="22"/>
              </w:rPr>
            </w:pPr>
            <w:r w:rsidRPr="00F95AFE">
              <w:rPr>
                <w:bCs/>
                <w:sz w:val="22"/>
                <w:szCs w:val="22"/>
              </w:rPr>
              <w:t>Перечисленные выше предложения БГЦА касательно проекта документа вносятся для целей</w:t>
            </w:r>
            <w:r w:rsidRPr="00F95AFE">
              <w:rPr>
                <w:sz w:val="22"/>
                <w:szCs w:val="22"/>
              </w:rPr>
              <w:t xml:space="preserve"> обсуждения.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bCs/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 xml:space="preserve">На текущий момент предлагаем исключить из проекта документа раздел 6, т.к. критерии компетентности провайдеров проверок квалификации устанавливаются в стандарте </w:t>
            </w:r>
            <w:r w:rsidRPr="00F95AFE">
              <w:rPr>
                <w:bCs/>
                <w:sz w:val="22"/>
                <w:szCs w:val="22"/>
              </w:rPr>
              <w:t xml:space="preserve">ISO/IEC 17043. Содержание раздела 5 следует пересмотреть исходя из целей, которых ЕААС желает достичь посредством </w:t>
            </w:r>
            <w:r w:rsidRPr="00F95AFE">
              <w:rPr>
                <w:sz w:val="22"/>
                <w:szCs w:val="22"/>
              </w:rPr>
              <w:t>разработки настоящего документа. Приложение А поддерживаем в представленной редакции. По приложению Б необходимы пояснения разработчика документа.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По тексту документа аббревиатуру «РОА» следует заменить на уже согласованное в МГС наименование «Евразийское сотрудничество по аккредитации» либо «ЕААС».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Предлагаем указывать ссылочный документ без года, при этом сделать примечание о необходимости применения последней редакции документа. В нормативные ссылки целесообразно включить политику ILAC-P9. Считаем необходимым пересмотреть необходимость включения в нормативные ссылки РМГ 103-2010.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В п.4.1 проекта документа следует исключить слова «устанавливает критерии компетентности организаторов (далее - провайдеров) программ проверки квалификации».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Заменить «АРLAC» на «АРАС».</w:t>
            </w:r>
          </w:p>
          <w:p w:rsidR="00F95AFE" w:rsidRPr="00F95AFE" w:rsidRDefault="00F95AFE" w:rsidP="0051739F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95AFE">
              <w:rPr>
                <w:sz w:val="22"/>
                <w:szCs w:val="22"/>
              </w:rPr>
              <w:t>Иные замечания по тексту документа могут быть направлены дополнительно после обсуждения вопросов, указанные нами выше.</w:t>
            </w:r>
          </w:p>
          <w:p w:rsidR="00F95AFE" w:rsidRPr="007067AE" w:rsidRDefault="00F95AFE" w:rsidP="00F95AFE">
            <w:pPr>
              <w:pStyle w:val="a3"/>
              <w:spacing w:line="235" w:lineRule="exact"/>
              <w:rPr>
                <w:b/>
                <w:sz w:val="22"/>
                <w:szCs w:val="22"/>
              </w:rPr>
            </w:pPr>
          </w:p>
        </w:tc>
        <w:tc>
          <w:tcPr>
            <w:tcW w:w="4145" w:type="dxa"/>
            <w:gridSpan w:val="2"/>
            <w:shd w:val="clear" w:color="auto" w:fill="FDE9D9" w:themeFill="accent6" w:themeFillTint="33"/>
          </w:tcPr>
          <w:p w:rsidR="00F95AFE" w:rsidRDefault="00F95AF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  <w:p w:rsidR="0087061E" w:rsidRPr="007067AE" w:rsidRDefault="0087061E" w:rsidP="00EE35C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5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5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EE356C" w:rsidRPr="008A6945" w:rsidRDefault="006D0289" w:rsidP="00B33EC0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B33EC0">
              <w:rPr>
                <w:sz w:val="22"/>
                <w:szCs w:val="22"/>
              </w:rPr>
              <w:t>разработчик документа</w:t>
            </w:r>
            <w:r w:rsidRPr="008A6945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5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EE356C" w:rsidRPr="00942379" w:rsidRDefault="00EE356C" w:rsidP="00B33EC0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B33EC0" w:rsidRPr="00B33EC0">
              <w:rPr>
                <w:sz w:val="22"/>
                <w:szCs w:val="22"/>
              </w:rPr>
              <w:t>предложения не поступали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:rsidTr="0087061E">
        <w:trPr>
          <w:trHeight w:val="461"/>
        </w:trPr>
        <w:tc>
          <w:tcPr>
            <w:tcW w:w="13184" w:type="dxa"/>
            <w:gridSpan w:val="5"/>
            <w:shd w:val="clear" w:color="auto" w:fill="FDE9D9" w:themeFill="accent6" w:themeFillTint="33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Республика Молдова</w:t>
            </w:r>
          </w:p>
          <w:p w:rsidR="00B33EC0" w:rsidRDefault="00EE356C" w:rsidP="00B33EC0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3EC0" w:rsidRPr="00B33EC0">
              <w:rPr>
                <w:iCs/>
                <w:sz w:val="22"/>
                <w:szCs w:val="22"/>
              </w:rPr>
              <w:t xml:space="preserve">письмо </w:t>
            </w:r>
            <w:r w:rsidR="00B33EC0">
              <w:rPr>
                <w:iCs/>
                <w:sz w:val="22"/>
                <w:szCs w:val="22"/>
              </w:rPr>
              <w:t xml:space="preserve">директора </w:t>
            </w:r>
            <w:r w:rsidR="00B33EC0" w:rsidRPr="00B33EC0">
              <w:rPr>
                <w:iCs/>
                <w:sz w:val="22"/>
                <w:szCs w:val="22"/>
                <w:lang w:val="en-US"/>
              </w:rPr>
              <w:t>MOLDAC</w:t>
            </w:r>
            <w:r w:rsidR="00B33EC0" w:rsidRPr="00B33EC0">
              <w:rPr>
                <w:iCs/>
                <w:sz w:val="22"/>
                <w:szCs w:val="22"/>
              </w:rPr>
              <w:t xml:space="preserve"> </w:t>
            </w:r>
            <w:r w:rsidR="00B33EC0">
              <w:rPr>
                <w:iCs/>
                <w:sz w:val="22"/>
                <w:szCs w:val="22"/>
              </w:rPr>
              <w:t xml:space="preserve">Юрия </w:t>
            </w:r>
            <w:proofErr w:type="spellStart"/>
            <w:r w:rsidR="00B33EC0">
              <w:rPr>
                <w:iCs/>
                <w:sz w:val="22"/>
                <w:szCs w:val="22"/>
              </w:rPr>
              <w:t>Фриптуляка</w:t>
            </w:r>
            <w:proofErr w:type="spellEnd"/>
          </w:p>
          <w:p w:rsidR="00EE356C" w:rsidRPr="009006FD" w:rsidRDefault="00B33EC0" w:rsidP="00B33EC0">
            <w:pPr>
              <w:jc w:val="center"/>
              <w:rPr>
                <w:sz w:val="22"/>
                <w:szCs w:val="22"/>
              </w:rPr>
            </w:pPr>
            <w:r w:rsidRPr="00B33EC0">
              <w:rPr>
                <w:iCs/>
                <w:sz w:val="22"/>
                <w:szCs w:val="22"/>
              </w:rPr>
              <w:t xml:space="preserve">№ 24/331- </w:t>
            </w:r>
            <w:r w:rsidRPr="00B33EC0">
              <w:rPr>
                <w:iCs/>
                <w:sz w:val="22"/>
                <w:szCs w:val="22"/>
                <w:lang w:val="en-US"/>
              </w:rPr>
              <w:t>DE</w:t>
            </w:r>
            <w:r w:rsidRPr="00B33EC0">
              <w:rPr>
                <w:iCs/>
                <w:sz w:val="22"/>
                <w:szCs w:val="22"/>
              </w:rPr>
              <w:t>-4 от 27.05.2022</w:t>
            </w:r>
            <w:r w:rsidR="00EE356C" w:rsidRPr="009006FD">
              <w:rPr>
                <w:sz w:val="22"/>
                <w:szCs w:val="22"/>
              </w:rPr>
              <w:t>)</w:t>
            </w:r>
          </w:p>
        </w:tc>
      </w:tr>
      <w:tr w:rsidR="00B33EC0" w:rsidRPr="007067AE" w:rsidTr="0087061E">
        <w:trPr>
          <w:trHeight w:val="461"/>
        </w:trPr>
        <w:tc>
          <w:tcPr>
            <w:tcW w:w="9039" w:type="dxa"/>
            <w:gridSpan w:val="3"/>
            <w:shd w:val="clear" w:color="auto" w:fill="FDE9D9" w:themeFill="accent6" w:themeFillTint="33"/>
          </w:tcPr>
          <w:p w:rsidR="00B33EC0" w:rsidRPr="00B33EC0" w:rsidRDefault="00B33EC0" w:rsidP="00B55595">
            <w:pPr>
              <w:tabs>
                <w:tab w:val="left" w:pos="14092"/>
              </w:tabs>
              <w:jc w:val="both"/>
              <w:rPr>
                <w:sz w:val="22"/>
                <w:szCs w:val="22"/>
              </w:rPr>
            </w:pPr>
            <w:r w:rsidRPr="00B33EC0">
              <w:rPr>
                <w:sz w:val="22"/>
                <w:szCs w:val="22"/>
                <w:lang w:val="en-US"/>
              </w:rPr>
              <w:t>MOLDAC</w:t>
            </w:r>
            <w:r w:rsidRPr="00B33E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сообщает, что не имеет предложений по проекту документа и считает целесообразным утвердить его после публикации второй версии проекта международного стандарта </w:t>
            </w:r>
            <w:r>
              <w:rPr>
                <w:sz w:val="22"/>
                <w:szCs w:val="22"/>
                <w:lang w:val="en-US"/>
              </w:rPr>
              <w:t>ISO</w:t>
            </w:r>
            <w:r w:rsidRPr="00B33EC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IEC</w:t>
            </w:r>
            <w:r w:rsidRPr="00B33E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DIS</w:t>
            </w:r>
            <w:r w:rsidRPr="00B33EC0">
              <w:rPr>
                <w:sz w:val="22"/>
                <w:szCs w:val="22"/>
              </w:rPr>
              <w:t xml:space="preserve"> 17043</w:t>
            </w:r>
          </w:p>
        </w:tc>
        <w:tc>
          <w:tcPr>
            <w:tcW w:w="4145" w:type="dxa"/>
            <w:gridSpan w:val="2"/>
            <w:shd w:val="clear" w:color="auto" w:fill="FDE9D9" w:themeFill="accent6" w:themeFillTint="33"/>
          </w:tcPr>
          <w:p w:rsidR="00B33EC0" w:rsidRPr="007067AE" w:rsidRDefault="00B33EC0" w:rsidP="00B33EC0">
            <w:pPr>
              <w:tabs>
                <w:tab w:val="left" w:pos="14092"/>
              </w:tabs>
              <w:ind w:left="-108"/>
              <w:rPr>
                <w:b/>
                <w:sz w:val="22"/>
                <w:szCs w:val="22"/>
              </w:rPr>
            </w:pPr>
          </w:p>
        </w:tc>
      </w:tr>
      <w:tr w:rsidR="00EE356C" w:rsidRPr="007067AE" w:rsidTr="0087061E">
        <w:trPr>
          <w:trHeight w:val="461"/>
        </w:trPr>
        <w:tc>
          <w:tcPr>
            <w:tcW w:w="13184" w:type="dxa"/>
            <w:gridSpan w:val="5"/>
            <w:shd w:val="clear" w:color="auto" w:fill="FDE9D9" w:themeFill="accent6" w:themeFillTint="33"/>
          </w:tcPr>
          <w:p w:rsidR="00EE356C" w:rsidRPr="007067AE" w:rsidRDefault="00EE356C" w:rsidP="00B33EC0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  <w:r w:rsidR="001F799B">
              <w:rPr>
                <w:b/>
                <w:sz w:val="22"/>
                <w:szCs w:val="22"/>
              </w:rPr>
              <w:br/>
            </w:r>
            <w:r w:rsidR="00AC0D84" w:rsidRPr="00AC0D84">
              <w:rPr>
                <w:sz w:val="22"/>
                <w:szCs w:val="22"/>
              </w:rPr>
              <w:t>(</w:t>
            </w:r>
            <w:r w:rsidR="00B33EC0">
              <w:rPr>
                <w:sz w:val="22"/>
                <w:szCs w:val="22"/>
              </w:rPr>
              <w:t xml:space="preserve">эл. </w:t>
            </w:r>
            <w:r w:rsidR="00AC0D84" w:rsidRPr="00AC0D84">
              <w:rPr>
                <w:sz w:val="22"/>
                <w:szCs w:val="22"/>
              </w:rPr>
              <w:t xml:space="preserve">письмо от </w:t>
            </w:r>
            <w:r w:rsidR="00B33EC0">
              <w:rPr>
                <w:sz w:val="22"/>
                <w:szCs w:val="22"/>
              </w:rPr>
              <w:t>23</w:t>
            </w:r>
            <w:r w:rsidR="00AC0D84" w:rsidRPr="00AC0D84">
              <w:rPr>
                <w:sz w:val="22"/>
                <w:szCs w:val="22"/>
              </w:rPr>
              <w:t>.0</w:t>
            </w:r>
            <w:r w:rsidR="00B33EC0">
              <w:rPr>
                <w:sz w:val="22"/>
                <w:szCs w:val="22"/>
              </w:rPr>
              <w:t>6</w:t>
            </w:r>
            <w:r w:rsidR="00AC0D84" w:rsidRPr="00AC0D84">
              <w:rPr>
                <w:sz w:val="22"/>
                <w:szCs w:val="22"/>
              </w:rPr>
              <w:t>.202</w:t>
            </w:r>
            <w:r w:rsidR="00B33EC0">
              <w:rPr>
                <w:sz w:val="22"/>
                <w:szCs w:val="22"/>
              </w:rPr>
              <w:t>2</w:t>
            </w:r>
            <w:r w:rsidR="00AC0D84" w:rsidRPr="00AC0D84">
              <w:rPr>
                <w:sz w:val="22"/>
                <w:szCs w:val="22"/>
              </w:rPr>
              <w:t>)</w:t>
            </w:r>
          </w:p>
        </w:tc>
      </w:tr>
      <w:tr w:rsidR="00AC0D84" w:rsidRPr="007067AE" w:rsidTr="0087061E">
        <w:trPr>
          <w:trHeight w:val="461"/>
        </w:trPr>
        <w:tc>
          <w:tcPr>
            <w:tcW w:w="9039" w:type="dxa"/>
            <w:gridSpan w:val="3"/>
            <w:shd w:val="clear" w:color="auto" w:fill="FDE9D9" w:themeFill="accent6" w:themeFillTint="33"/>
          </w:tcPr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Полагаем, что представленный Порядок требует существенной доработки, в том числе в плане его согласования с находящимся в высокой степени готовности проектом документа «Политика Евразийского сотрудничества по аккредитации в отношении участия органов по оценке соответствия в программах проверки квалификации», разработанного российской стороной. В этой связи считаем целесообразным предложить внести в Порядок следующие изменения.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В разделе 1 Порядка необходимо заменить указание на Региональную организацию (ассоциацию) по аккредитации на утвержденное название организации: «Евразийское сотрудничество по аккредитации».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В разделе 2 Порядка необходимо изменить название пятого документа перечня на следующее «Политика ЕААС», «Политика Евразийского сотрудничества по аккредитации в отношении участия органов по оценке соответствия в программах проверки квалификации». Также предлагаем исключить из перечня нормативных ссылок РМГ 103-2010, поскольку требования данного документа не основываются на требованиях какого-либо международного стандарта, применение данного документа не является актуальным, несмотря на его действующий статус.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В разделе 3 Порядка и далее по тексту предлагается заменить сокращение РОА на ЕААС (Евразийское сотрудничество по аккредитации).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Формулировку пункта 4.1 Порядка считаем целесообразным привести в соответствие с формулировкой раздела 1 Порядка, разъяснив, что Порядок применяется в целях ЕААС и не создает юридически обязывающих требований в рамках систем аккредитации органов по аккредитации-участников ЕААС.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 xml:space="preserve">В пункте 4.2 Порядка полагаем необходимым указать, что результаты участия аккредитованных органов по оценке соответствия в программах проверки квалификации, организованных провайдерами, не имеющими аккредитации по межгосударственному </w:t>
            </w:r>
            <w:r w:rsidRPr="00B33EC0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стандарт ГОСТ ISO/IEC 17043-2013 «Оценка соответствия. Основные требования к проведению проверки квалификации» (международному стандарту ISO/IEC 17043:2010), признаются только в целях проведения паритетных оценок в рамках Договоренности о взаимном признании ЕААС. 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 xml:space="preserve">Кроме того, считаем необходимым исключить пятый абзац и конкретизировать второй абзац пункта 4.2 Порядка, а именно перечислить конкретные критерии, позволяющие сделать вывод о том, что организация, не имеющая соответствующей аккредитации, «действует в соответствии с ГОСТ ISO/IEC 17043», например, путем признания органами по аккредитации-участниками ЕААС, декларирования о соответствии провайдерами проверки квалификации требованиям ГОСТ ISO/IEC 17043-2013 в соответствии с национальным законодательством. Также предлагаем исключить из перечня Европейские референтные лаборатории, поскольку включение в перечень </w:t>
            </w:r>
            <w:proofErr w:type="spellStart"/>
            <w:r w:rsidRPr="00B33EC0">
              <w:rPr>
                <w:rFonts w:eastAsia="Calibri"/>
                <w:sz w:val="22"/>
                <w:szCs w:val="22"/>
                <w:lang w:eastAsia="en-US"/>
              </w:rPr>
              <w:t>референтных</w:t>
            </w:r>
            <w:proofErr w:type="spellEnd"/>
            <w:r w:rsidRPr="00B33EC0">
              <w:rPr>
                <w:rFonts w:eastAsia="Calibri"/>
                <w:sz w:val="22"/>
                <w:szCs w:val="22"/>
                <w:lang w:eastAsia="en-US"/>
              </w:rPr>
              <w:t xml:space="preserve"> лабораторий не обеспечивает необходимой уверенности в том, что реализация программы проверки квалификации будет проходить в соответствии с требованиями ГОСТ ISO/IEC 17043-2013.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 xml:space="preserve">В пункте 5.2 Порядка предлагаем внести изменения в перечень предоставляемых сведений и указать следующее: 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а) </w:t>
            </w:r>
            <w:r w:rsidRPr="00B33EC0">
              <w:rPr>
                <w:rFonts w:eastAsia="Calibri"/>
                <w:sz w:val="22"/>
                <w:szCs w:val="22"/>
                <w:lang w:eastAsia="en-US"/>
              </w:rPr>
              <w:t>наименование провайдера проверки квалификации;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б)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 xml:space="preserve">адрес и контактные данные провайдера; 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в) 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номер аттестата аккредитации и срок его действия (если применимо) или номер записи об аккредитации в реестре;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г)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наименование программы проверки квалификации;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д) 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объект программы проверки квалификации;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е) 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наименование определяемой характеристики (характеристик);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ж)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метод исследований (испытаний) и измерений (при необходимости);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з) 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критерии оценки квалификации лаборатории;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виды деятельности, осуществляемые на условиях субподряда;</w:t>
            </w:r>
          </w:p>
          <w:p w:rsidR="00B33EC0" w:rsidRPr="00B33EC0" w:rsidRDefault="00B55595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к) </w:t>
            </w:r>
            <w:r w:rsidR="00B33EC0" w:rsidRPr="00B33EC0">
              <w:rPr>
                <w:rFonts w:eastAsia="Calibri"/>
                <w:sz w:val="22"/>
                <w:szCs w:val="22"/>
                <w:lang w:eastAsia="en-US"/>
              </w:rPr>
              <w:t>сроки проведения программы.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Приложение А предлагаем скорректировать в соответствии с вышеуказанными изменениями пункта 5.2 Порядка.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 В пункте 6.1 Порядка предлагаем предусмотреть только единственный критерий выбора провайдера проверки квалификации, предусмотренный подпунктом б пункта 6.1 Порядка, в виду того, что требования, перечисленные в других подпунктах, предусмотрены ГОСТ ISO/IEC 17043-2013.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Одновременно предлагаем исключить из Порядка пункт 6.2 и Приложение Б, поскольку порядок обеспечения конфиденциальности информации при проведении программы проверки квалификации определяется в каждом случае индивидуально между провайдером проверки квалификации и участниками программы.</w:t>
            </w:r>
          </w:p>
          <w:p w:rsidR="00B33EC0" w:rsidRPr="00B33EC0" w:rsidRDefault="00B33EC0" w:rsidP="00B33EC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lastRenderedPageBreak/>
              <w:t> </w:t>
            </w:r>
          </w:p>
          <w:p w:rsidR="00AC0D84" w:rsidRPr="007067AE" w:rsidRDefault="00B33EC0" w:rsidP="00CE4100">
            <w:pPr>
              <w:overflowPunct/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B33EC0">
              <w:rPr>
                <w:rFonts w:eastAsia="Calibri"/>
                <w:sz w:val="22"/>
                <w:szCs w:val="22"/>
                <w:lang w:eastAsia="en-US"/>
              </w:rPr>
              <w:t>Также обращаем внимание, что оформление Порядка необходимо привести в соответствие с документом «Правила разработки, принятия, обновления и отмены документов Евразийского сотрудничества по аккредитации».</w:t>
            </w:r>
          </w:p>
        </w:tc>
        <w:tc>
          <w:tcPr>
            <w:tcW w:w="4145" w:type="dxa"/>
            <w:gridSpan w:val="2"/>
            <w:shd w:val="clear" w:color="auto" w:fill="FDE9D9" w:themeFill="accent6" w:themeFillTint="33"/>
          </w:tcPr>
          <w:p w:rsidR="00AC0D84" w:rsidRDefault="00AC0D84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  <w:p w:rsidR="0087061E" w:rsidRPr="007067AE" w:rsidRDefault="0087061E" w:rsidP="00AC0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5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Республика Таджикистан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5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87061E">
        <w:trPr>
          <w:trHeight w:val="461"/>
        </w:trPr>
        <w:tc>
          <w:tcPr>
            <w:tcW w:w="13184" w:type="dxa"/>
            <w:gridSpan w:val="5"/>
            <w:shd w:val="clear" w:color="auto" w:fill="FDE9D9" w:themeFill="accent6" w:themeFillTint="33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7E7B2B" w:rsidRDefault="00EE356C" w:rsidP="007E7B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E7B2B">
              <w:rPr>
                <w:sz w:val="22"/>
                <w:szCs w:val="22"/>
              </w:rPr>
              <w:t xml:space="preserve">письмо ГУП «Узбекский центр аккредитации» директора </w:t>
            </w:r>
            <w:proofErr w:type="spellStart"/>
            <w:r w:rsidR="007E7B2B">
              <w:rPr>
                <w:sz w:val="22"/>
                <w:szCs w:val="22"/>
              </w:rPr>
              <w:t>А.Закирова</w:t>
            </w:r>
            <w:proofErr w:type="spellEnd"/>
          </w:p>
          <w:p w:rsidR="00EE356C" w:rsidRPr="007067AE" w:rsidRDefault="007E7B2B" w:rsidP="007E7B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01/1166 от 01.06.2022</w:t>
            </w:r>
            <w:r w:rsidR="00EE356C">
              <w:rPr>
                <w:sz w:val="22"/>
                <w:szCs w:val="22"/>
              </w:rPr>
              <w:t>)</w:t>
            </w:r>
            <w:r w:rsidR="00F452E3">
              <w:rPr>
                <w:sz w:val="22"/>
                <w:szCs w:val="22"/>
              </w:rPr>
              <w:t xml:space="preserve"> </w:t>
            </w:r>
          </w:p>
        </w:tc>
      </w:tr>
      <w:tr w:rsidR="00383D6F" w:rsidRPr="007067AE" w:rsidTr="0087061E">
        <w:trPr>
          <w:trHeight w:val="461"/>
        </w:trPr>
        <w:tc>
          <w:tcPr>
            <w:tcW w:w="13184" w:type="dxa"/>
            <w:gridSpan w:val="5"/>
            <w:shd w:val="clear" w:color="auto" w:fill="FDE9D9" w:themeFill="accent6" w:themeFillTint="33"/>
          </w:tcPr>
          <w:p w:rsidR="00383D6F" w:rsidRPr="004E1E40" w:rsidRDefault="007E7B2B" w:rsidP="007E7B2B">
            <w:pPr>
              <w:rPr>
                <w:sz w:val="22"/>
                <w:szCs w:val="22"/>
              </w:rPr>
            </w:pPr>
            <w:r w:rsidRPr="004E1E40">
              <w:rPr>
                <w:sz w:val="22"/>
                <w:szCs w:val="22"/>
              </w:rPr>
              <w:t>В целом по документу:</w:t>
            </w:r>
          </w:p>
          <w:p w:rsidR="007E7B2B" w:rsidRPr="004E1E40" w:rsidRDefault="007E7B2B" w:rsidP="004E1E40">
            <w:pPr>
              <w:pStyle w:val="aa"/>
              <w:numPr>
                <w:ilvl w:val="0"/>
                <w:numId w:val="19"/>
              </w:numPr>
              <w:ind w:left="0" w:firstLine="360"/>
              <w:rPr>
                <w:sz w:val="22"/>
                <w:szCs w:val="22"/>
              </w:rPr>
            </w:pPr>
            <w:r w:rsidRPr="004E1E40">
              <w:rPr>
                <w:sz w:val="22"/>
                <w:szCs w:val="22"/>
              </w:rPr>
              <w:t xml:space="preserve">Рекомендуется оформление и содержание документа привести в соответствие с «Правилами разработки, принятия, обновления и отмены </w:t>
            </w:r>
            <w:r w:rsidR="004E1E40" w:rsidRPr="004E1E40">
              <w:rPr>
                <w:sz w:val="22"/>
                <w:szCs w:val="22"/>
              </w:rPr>
              <w:t>документов Евразийского сотрудничества по аккредитации</w:t>
            </w:r>
            <w:r w:rsidRPr="004E1E40">
              <w:rPr>
                <w:sz w:val="22"/>
                <w:szCs w:val="22"/>
              </w:rPr>
              <w:t>»</w:t>
            </w:r>
            <w:r w:rsidR="004E1E40" w:rsidRPr="004E1E40">
              <w:rPr>
                <w:sz w:val="22"/>
                <w:szCs w:val="22"/>
              </w:rPr>
              <w:t xml:space="preserve">, в части включения </w:t>
            </w:r>
            <w:r w:rsidR="008975C0" w:rsidRPr="004E1E40">
              <w:rPr>
                <w:sz w:val="22"/>
                <w:szCs w:val="22"/>
              </w:rPr>
              <w:t>колонтитула</w:t>
            </w:r>
            <w:r w:rsidR="004E1E40" w:rsidRPr="004E1E40">
              <w:rPr>
                <w:sz w:val="22"/>
                <w:szCs w:val="22"/>
              </w:rPr>
              <w:t>, порядка расположения разделов.</w:t>
            </w:r>
          </w:p>
          <w:p w:rsidR="004E1E40" w:rsidRPr="007E7B2B" w:rsidRDefault="004E1E40" w:rsidP="007E7B2B">
            <w:pPr>
              <w:pStyle w:val="aa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 w:rsidRPr="004E1E40">
              <w:rPr>
                <w:sz w:val="22"/>
                <w:szCs w:val="22"/>
              </w:rPr>
              <w:t xml:space="preserve">Аббревиатуру РОА заменить на </w:t>
            </w:r>
            <w:r w:rsidRPr="004E1E40">
              <w:rPr>
                <w:sz w:val="22"/>
                <w:szCs w:val="22"/>
                <w:lang w:val="en-US"/>
              </w:rPr>
              <w:t>EAAC</w:t>
            </w:r>
            <w:r w:rsidRPr="004E1E40">
              <w:rPr>
                <w:sz w:val="22"/>
                <w:szCs w:val="22"/>
              </w:rPr>
              <w:t xml:space="preserve"> и включить ее в раздел 3.</w:t>
            </w:r>
          </w:p>
        </w:tc>
      </w:tr>
      <w:tr w:rsidR="004E1E40" w:rsidRPr="007067AE" w:rsidTr="0087061E">
        <w:trPr>
          <w:trHeight w:val="461"/>
        </w:trPr>
        <w:tc>
          <w:tcPr>
            <w:tcW w:w="13184" w:type="dxa"/>
            <w:gridSpan w:val="5"/>
            <w:shd w:val="clear" w:color="auto" w:fill="FDE9D9" w:themeFill="accent6" w:themeFillTint="33"/>
          </w:tcPr>
          <w:p w:rsidR="002C6EB1" w:rsidRDefault="004E1E40" w:rsidP="002C6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2: Рекомендуется исключить ГОСТ</w:t>
            </w:r>
            <w:r w:rsidRPr="004E1E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ISO</w:t>
            </w:r>
            <w:r w:rsidRPr="004E1E4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IEC</w:t>
            </w:r>
            <w:r w:rsidRPr="004E1E40">
              <w:rPr>
                <w:sz w:val="22"/>
                <w:szCs w:val="22"/>
              </w:rPr>
              <w:t xml:space="preserve"> 17025-2019 </w:t>
            </w:r>
            <w:r>
              <w:rPr>
                <w:sz w:val="22"/>
                <w:szCs w:val="22"/>
              </w:rPr>
              <w:t xml:space="preserve">и ГОСТ </w:t>
            </w:r>
            <w:r>
              <w:rPr>
                <w:sz w:val="22"/>
                <w:szCs w:val="22"/>
                <w:lang w:val="en-US"/>
              </w:rPr>
              <w:t>ISO</w:t>
            </w:r>
            <w:r w:rsidRPr="004E1E4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IEC</w:t>
            </w:r>
            <w:r w:rsidRPr="004E1E40">
              <w:rPr>
                <w:sz w:val="22"/>
                <w:szCs w:val="22"/>
              </w:rPr>
              <w:t xml:space="preserve"> </w:t>
            </w:r>
            <w:r w:rsidR="002C6EB1">
              <w:rPr>
                <w:sz w:val="22"/>
                <w:szCs w:val="22"/>
              </w:rPr>
              <w:t>17020-2013, так как на них отсутствует ссылка по тексту документа.</w:t>
            </w:r>
          </w:p>
          <w:p w:rsidR="004E1E40" w:rsidRPr="002C6EB1" w:rsidRDefault="004E1E40" w:rsidP="002C6EB1">
            <w:pPr>
              <w:rPr>
                <w:sz w:val="22"/>
                <w:szCs w:val="22"/>
              </w:rPr>
            </w:pPr>
          </w:p>
        </w:tc>
      </w:tr>
      <w:tr w:rsidR="002C6EB1" w:rsidRPr="007067AE" w:rsidTr="0087061E">
        <w:trPr>
          <w:trHeight w:val="461"/>
        </w:trPr>
        <w:tc>
          <w:tcPr>
            <w:tcW w:w="13184" w:type="dxa"/>
            <w:gridSpan w:val="5"/>
            <w:shd w:val="clear" w:color="auto" w:fill="FDE9D9" w:themeFill="accent6" w:themeFillTint="33"/>
          </w:tcPr>
          <w:p w:rsidR="002C6EB1" w:rsidRDefault="002C6EB1" w:rsidP="002C6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3:  Рекомендуется дополнить определениями, поясняющими сокращения </w:t>
            </w:r>
            <w:r>
              <w:rPr>
                <w:sz w:val="22"/>
                <w:szCs w:val="22"/>
                <w:lang w:val="en-US"/>
              </w:rPr>
              <w:t>EA</w:t>
            </w:r>
            <w:r w:rsidRPr="002C6EB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APAC</w:t>
            </w:r>
            <w:r w:rsidRPr="002C6EB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EURL</w:t>
            </w:r>
            <w:r w:rsidRPr="002C6EB1">
              <w:rPr>
                <w:sz w:val="22"/>
                <w:szCs w:val="22"/>
              </w:rPr>
              <w:t>.</w:t>
            </w:r>
          </w:p>
        </w:tc>
      </w:tr>
      <w:tr w:rsidR="002C6EB1" w:rsidRPr="007067AE" w:rsidTr="0087061E">
        <w:trPr>
          <w:trHeight w:val="461"/>
        </w:trPr>
        <w:tc>
          <w:tcPr>
            <w:tcW w:w="2376" w:type="dxa"/>
            <w:shd w:val="clear" w:color="auto" w:fill="FDE9D9" w:themeFill="accent6" w:themeFillTint="33"/>
          </w:tcPr>
          <w:p w:rsidR="002C6EB1" w:rsidRPr="002C6EB1" w:rsidRDefault="002C6EB1" w:rsidP="002C6E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пункта проекта документа</w:t>
            </w:r>
          </w:p>
        </w:tc>
        <w:tc>
          <w:tcPr>
            <w:tcW w:w="3402" w:type="dxa"/>
            <w:shd w:val="clear" w:color="auto" w:fill="FDE9D9" w:themeFill="accent6" w:themeFillTint="33"/>
          </w:tcPr>
          <w:p w:rsidR="002C6EB1" w:rsidRDefault="002C6EB1" w:rsidP="002C6E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Замечание</w:t>
            </w:r>
          </w:p>
        </w:tc>
        <w:tc>
          <w:tcPr>
            <w:tcW w:w="3402" w:type="dxa"/>
            <w:gridSpan w:val="2"/>
            <w:shd w:val="clear" w:color="auto" w:fill="FDE9D9" w:themeFill="accent6" w:themeFillTint="33"/>
          </w:tcPr>
          <w:p w:rsidR="002C6EB1" w:rsidRDefault="002C6EB1" w:rsidP="002C6E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Существующая редакция</w:t>
            </w:r>
          </w:p>
        </w:tc>
        <w:tc>
          <w:tcPr>
            <w:tcW w:w="4004" w:type="dxa"/>
            <w:shd w:val="clear" w:color="auto" w:fill="FDE9D9" w:themeFill="accent6" w:themeFillTint="33"/>
          </w:tcPr>
          <w:p w:rsidR="002C6EB1" w:rsidRDefault="002C6EB1" w:rsidP="002C6E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Предлагаемая редакция</w:t>
            </w:r>
          </w:p>
        </w:tc>
      </w:tr>
      <w:tr w:rsidR="002C6EB1" w:rsidRPr="007067AE" w:rsidTr="0087061E">
        <w:trPr>
          <w:trHeight w:val="461"/>
        </w:trPr>
        <w:tc>
          <w:tcPr>
            <w:tcW w:w="2376" w:type="dxa"/>
            <w:shd w:val="clear" w:color="auto" w:fill="FDE9D9" w:themeFill="accent6" w:themeFillTint="33"/>
          </w:tcPr>
          <w:p w:rsidR="002C6EB1" w:rsidRDefault="002C6EB1" w:rsidP="002C6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П.4.2, третий абзац</w:t>
            </w:r>
          </w:p>
        </w:tc>
        <w:tc>
          <w:tcPr>
            <w:tcW w:w="3402" w:type="dxa"/>
            <w:shd w:val="clear" w:color="auto" w:fill="FDE9D9" w:themeFill="accent6" w:themeFillTint="33"/>
          </w:tcPr>
          <w:p w:rsidR="002C6EB1" w:rsidRDefault="002C6EB1" w:rsidP="002C6E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Рекомендуется уточнить аббревиатуру, обозначающую наименование региональной организации по аккредитации</w:t>
            </w:r>
          </w:p>
        </w:tc>
        <w:tc>
          <w:tcPr>
            <w:tcW w:w="3402" w:type="dxa"/>
            <w:gridSpan w:val="2"/>
            <w:shd w:val="clear" w:color="auto" w:fill="FDE9D9" w:themeFill="accent6" w:themeFillTint="33"/>
          </w:tcPr>
          <w:p w:rsidR="002C6EB1" w:rsidRPr="002C6EB1" w:rsidRDefault="002C6EB1" w:rsidP="002C6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организаторами ПК, предложенными </w:t>
            </w:r>
            <w:r>
              <w:rPr>
                <w:sz w:val="22"/>
                <w:szCs w:val="22"/>
                <w:lang w:val="en-US"/>
              </w:rPr>
              <w:t>EA</w:t>
            </w:r>
            <w:r w:rsidRPr="002C6E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 w:rsidRPr="002C6EB1">
              <w:rPr>
                <w:b/>
                <w:sz w:val="22"/>
                <w:szCs w:val="22"/>
                <w:lang w:val="en-US"/>
              </w:rPr>
              <w:t>APLAC</w:t>
            </w:r>
            <w:r w:rsidRPr="002C6E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или другими региональными или международными организациями;</w:t>
            </w:r>
          </w:p>
        </w:tc>
        <w:tc>
          <w:tcPr>
            <w:tcW w:w="4004" w:type="dxa"/>
            <w:shd w:val="clear" w:color="auto" w:fill="FDE9D9" w:themeFill="accent6" w:themeFillTint="33"/>
          </w:tcPr>
          <w:p w:rsidR="002C6EB1" w:rsidRDefault="002C6EB1" w:rsidP="002C6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C6EB1">
              <w:rPr>
                <w:sz w:val="22"/>
                <w:szCs w:val="22"/>
              </w:rPr>
              <w:t xml:space="preserve">организаторами ПК, предложенными EA и </w:t>
            </w:r>
            <w:r w:rsidRPr="002C6EB1">
              <w:rPr>
                <w:b/>
                <w:sz w:val="22"/>
                <w:szCs w:val="22"/>
              </w:rPr>
              <w:t>APAC</w:t>
            </w:r>
            <w:r w:rsidRPr="002C6EB1">
              <w:rPr>
                <w:sz w:val="22"/>
                <w:szCs w:val="22"/>
              </w:rPr>
              <w:t xml:space="preserve"> или другими региональными или международными организациями;</w:t>
            </w:r>
          </w:p>
        </w:tc>
      </w:tr>
      <w:tr w:rsidR="002C6EB1" w:rsidRPr="007067AE" w:rsidTr="0087061E">
        <w:trPr>
          <w:trHeight w:val="461"/>
        </w:trPr>
        <w:tc>
          <w:tcPr>
            <w:tcW w:w="2376" w:type="dxa"/>
            <w:shd w:val="clear" w:color="auto" w:fill="FDE9D9" w:themeFill="accent6" w:themeFillTint="33"/>
          </w:tcPr>
          <w:p w:rsidR="002C6EB1" w:rsidRDefault="007B604B" w:rsidP="002C6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П.4.2, пятый абзац</w:t>
            </w:r>
          </w:p>
        </w:tc>
        <w:tc>
          <w:tcPr>
            <w:tcW w:w="3402" w:type="dxa"/>
            <w:shd w:val="clear" w:color="auto" w:fill="FDE9D9" w:themeFill="accent6" w:themeFillTint="33"/>
          </w:tcPr>
          <w:p w:rsidR="002C6EB1" w:rsidRDefault="007B604B" w:rsidP="002C6E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Рекомендуется уточнить обозначение стандарта</w:t>
            </w:r>
          </w:p>
        </w:tc>
        <w:tc>
          <w:tcPr>
            <w:tcW w:w="3402" w:type="dxa"/>
            <w:gridSpan w:val="2"/>
            <w:shd w:val="clear" w:color="auto" w:fill="FDE9D9" w:themeFill="accent6" w:themeFillTint="33"/>
          </w:tcPr>
          <w:p w:rsidR="002C6EB1" w:rsidRDefault="007B604B" w:rsidP="007B60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7B604B">
              <w:rPr>
                <w:sz w:val="22"/>
                <w:szCs w:val="22"/>
              </w:rPr>
              <w:t xml:space="preserve">организаторами в рамках национальных, региональных, международных компаний для специфических областей, которые декларируют, что действуют в соответствии с </w:t>
            </w:r>
            <w:r w:rsidRPr="007B604B">
              <w:rPr>
                <w:b/>
                <w:sz w:val="22"/>
                <w:szCs w:val="22"/>
              </w:rPr>
              <w:t>ISO/C</w:t>
            </w:r>
            <w:r w:rsidRPr="007B604B">
              <w:rPr>
                <w:b/>
                <w:sz w:val="22"/>
                <w:szCs w:val="22"/>
                <w:lang w:val="en-US"/>
              </w:rPr>
              <w:t>EI</w:t>
            </w:r>
            <w:r w:rsidRPr="007B604B">
              <w:rPr>
                <w:b/>
                <w:sz w:val="22"/>
                <w:szCs w:val="22"/>
              </w:rPr>
              <w:t xml:space="preserve"> 17043.</w:t>
            </w:r>
          </w:p>
        </w:tc>
        <w:tc>
          <w:tcPr>
            <w:tcW w:w="4004" w:type="dxa"/>
            <w:shd w:val="clear" w:color="auto" w:fill="FDE9D9" w:themeFill="accent6" w:themeFillTint="33"/>
          </w:tcPr>
          <w:p w:rsidR="002C6EB1" w:rsidRDefault="007B604B" w:rsidP="002C6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7B604B">
              <w:rPr>
                <w:sz w:val="22"/>
                <w:szCs w:val="22"/>
              </w:rPr>
              <w:t xml:space="preserve">организаторами в рамках национальных, региональных, международных компаний для специфических областей, которые декларируют, что действуют в соответствии с </w:t>
            </w:r>
            <w:r w:rsidRPr="007B604B">
              <w:rPr>
                <w:b/>
                <w:sz w:val="22"/>
                <w:szCs w:val="22"/>
              </w:rPr>
              <w:t>ISO/IEC 17043</w:t>
            </w:r>
            <w:r w:rsidRPr="007B604B">
              <w:rPr>
                <w:sz w:val="22"/>
                <w:szCs w:val="22"/>
              </w:rPr>
              <w:t>.</w:t>
            </w:r>
          </w:p>
        </w:tc>
      </w:tr>
      <w:tr w:rsidR="007B604B" w:rsidRPr="007067AE" w:rsidTr="0087061E">
        <w:trPr>
          <w:trHeight w:val="461"/>
        </w:trPr>
        <w:tc>
          <w:tcPr>
            <w:tcW w:w="2376" w:type="dxa"/>
            <w:shd w:val="clear" w:color="auto" w:fill="FDE9D9" w:themeFill="accent6" w:themeFillTint="33"/>
          </w:tcPr>
          <w:p w:rsidR="007B604B" w:rsidRDefault="007B604B" w:rsidP="002C6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П.6.1 б)</w:t>
            </w:r>
          </w:p>
        </w:tc>
        <w:tc>
          <w:tcPr>
            <w:tcW w:w="3402" w:type="dxa"/>
            <w:shd w:val="clear" w:color="auto" w:fill="FDE9D9" w:themeFill="accent6" w:themeFillTint="33"/>
          </w:tcPr>
          <w:p w:rsidR="007B604B" w:rsidRDefault="007B604B" w:rsidP="007B60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Рекомендуется заменить слово «аттестат аккредитации», так как не у всех стран членов МГС </w:t>
            </w:r>
            <w:r>
              <w:rPr>
                <w:sz w:val="22"/>
                <w:szCs w:val="22"/>
              </w:rPr>
              <w:lastRenderedPageBreak/>
              <w:t>применяется наименование «аттестат аккредитации»</w:t>
            </w:r>
          </w:p>
        </w:tc>
        <w:tc>
          <w:tcPr>
            <w:tcW w:w="3402" w:type="dxa"/>
            <w:gridSpan w:val="2"/>
            <w:shd w:val="clear" w:color="auto" w:fill="FDE9D9" w:themeFill="accent6" w:themeFillTint="33"/>
          </w:tcPr>
          <w:p w:rsidR="007B604B" w:rsidRDefault="007B604B" w:rsidP="007B60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б) наличие действующего аттестата аккредитации на соответствие ГОСТ </w:t>
            </w:r>
            <w:r w:rsidRPr="007B604B">
              <w:rPr>
                <w:sz w:val="22"/>
                <w:szCs w:val="22"/>
              </w:rPr>
              <w:t xml:space="preserve">ISO/IEC </w:t>
            </w:r>
            <w:r w:rsidRPr="007B604B">
              <w:rPr>
                <w:sz w:val="22"/>
                <w:szCs w:val="22"/>
              </w:rPr>
              <w:lastRenderedPageBreak/>
              <w:t>17043</w:t>
            </w:r>
            <w:r>
              <w:rPr>
                <w:sz w:val="22"/>
                <w:szCs w:val="22"/>
              </w:rPr>
              <w:t>, выданный национальным органом по аккредитации, членом РОА</w:t>
            </w:r>
          </w:p>
        </w:tc>
        <w:tc>
          <w:tcPr>
            <w:tcW w:w="4004" w:type="dxa"/>
            <w:shd w:val="clear" w:color="auto" w:fill="FDE9D9" w:themeFill="accent6" w:themeFillTint="33"/>
          </w:tcPr>
          <w:p w:rsidR="007B604B" w:rsidRPr="007B604B" w:rsidRDefault="007B604B" w:rsidP="007B60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б) </w:t>
            </w:r>
            <w:r w:rsidRPr="007B604B">
              <w:rPr>
                <w:sz w:val="22"/>
                <w:szCs w:val="22"/>
              </w:rPr>
              <w:t xml:space="preserve">наличие действующего </w:t>
            </w:r>
            <w:r>
              <w:rPr>
                <w:sz w:val="22"/>
                <w:szCs w:val="22"/>
              </w:rPr>
              <w:t xml:space="preserve">документа, подтверждающего </w:t>
            </w:r>
            <w:r w:rsidRPr="007B604B">
              <w:rPr>
                <w:sz w:val="22"/>
                <w:szCs w:val="22"/>
              </w:rPr>
              <w:t>аккредитаци</w:t>
            </w:r>
            <w:r>
              <w:rPr>
                <w:sz w:val="22"/>
                <w:szCs w:val="22"/>
              </w:rPr>
              <w:t>ю</w:t>
            </w:r>
            <w:r w:rsidRPr="007B604B">
              <w:rPr>
                <w:sz w:val="22"/>
                <w:szCs w:val="22"/>
              </w:rPr>
              <w:t xml:space="preserve"> на соответствие ГОСТ ISO/IEC 17043, </w:t>
            </w:r>
            <w:r w:rsidRPr="007B604B">
              <w:rPr>
                <w:sz w:val="22"/>
                <w:szCs w:val="22"/>
              </w:rPr>
              <w:lastRenderedPageBreak/>
              <w:t>выданн</w:t>
            </w:r>
            <w:r>
              <w:rPr>
                <w:sz w:val="22"/>
                <w:szCs w:val="22"/>
              </w:rPr>
              <w:t>ого</w:t>
            </w:r>
            <w:r w:rsidRPr="007B604B">
              <w:rPr>
                <w:sz w:val="22"/>
                <w:szCs w:val="22"/>
              </w:rPr>
              <w:t xml:space="preserve"> национальным органом по аккредитации, членом </w:t>
            </w:r>
            <w:r>
              <w:rPr>
                <w:sz w:val="22"/>
                <w:szCs w:val="22"/>
                <w:lang w:val="en-US"/>
              </w:rPr>
              <w:t>EAAC</w:t>
            </w:r>
            <w:r>
              <w:rPr>
                <w:sz w:val="22"/>
                <w:szCs w:val="22"/>
              </w:rPr>
              <w:t>;</w:t>
            </w:r>
          </w:p>
        </w:tc>
      </w:tr>
      <w:tr w:rsidR="007B604B" w:rsidRPr="007067AE" w:rsidTr="0087061E">
        <w:trPr>
          <w:trHeight w:val="461"/>
        </w:trPr>
        <w:tc>
          <w:tcPr>
            <w:tcW w:w="2376" w:type="dxa"/>
            <w:shd w:val="clear" w:color="auto" w:fill="FDE9D9" w:themeFill="accent6" w:themeFillTint="33"/>
          </w:tcPr>
          <w:p w:rsidR="007B604B" w:rsidRDefault="007B604B" w:rsidP="002C6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П.6.2</w:t>
            </w:r>
            <w:r w:rsidRPr="007B604B">
              <w:rPr>
                <w:sz w:val="22"/>
                <w:szCs w:val="22"/>
              </w:rPr>
              <w:t xml:space="preserve"> б)</w:t>
            </w:r>
          </w:p>
        </w:tc>
        <w:tc>
          <w:tcPr>
            <w:tcW w:w="3402" w:type="dxa"/>
            <w:shd w:val="clear" w:color="auto" w:fill="FDE9D9" w:themeFill="accent6" w:themeFillTint="33"/>
          </w:tcPr>
          <w:p w:rsidR="007B604B" w:rsidRDefault="007B604B" w:rsidP="007B60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целях уточнения редакции</w:t>
            </w:r>
          </w:p>
        </w:tc>
        <w:tc>
          <w:tcPr>
            <w:tcW w:w="3402" w:type="dxa"/>
            <w:gridSpan w:val="2"/>
            <w:shd w:val="clear" w:color="auto" w:fill="FDE9D9" w:themeFill="accent6" w:themeFillTint="33"/>
          </w:tcPr>
          <w:p w:rsidR="007B604B" w:rsidRDefault="007B604B" w:rsidP="007B60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Провайдер проверки квалификации должен вести учет участников программ проверки квалификации согласно Приложения Б с соблюдением всех норм конфиденциальности.</w:t>
            </w:r>
          </w:p>
        </w:tc>
        <w:tc>
          <w:tcPr>
            <w:tcW w:w="4004" w:type="dxa"/>
            <w:shd w:val="clear" w:color="auto" w:fill="FDE9D9" w:themeFill="accent6" w:themeFillTint="33"/>
          </w:tcPr>
          <w:p w:rsidR="007B604B" w:rsidRDefault="007B604B" w:rsidP="007B604B">
            <w:pPr>
              <w:rPr>
                <w:sz w:val="22"/>
                <w:szCs w:val="22"/>
              </w:rPr>
            </w:pPr>
            <w:r w:rsidRPr="007B604B">
              <w:rPr>
                <w:sz w:val="22"/>
                <w:szCs w:val="22"/>
              </w:rPr>
              <w:t>Провайдер проверки квалификации должен вести учет участников программ проверки квалификации согласно Приложения Б с соблюдением всех норм конфиденциальности</w:t>
            </w:r>
            <w:r>
              <w:rPr>
                <w:sz w:val="22"/>
                <w:szCs w:val="22"/>
              </w:rPr>
              <w:t xml:space="preserve"> и требований стандарта </w:t>
            </w:r>
            <w:r w:rsidRPr="007B604B">
              <w:rPr>
                <w:sz w:val="22"/>
                <w:szCs w:val="22"/>
              </w:rPr>
              <w:t>ГОСТ ISO/IEC 17043.</w:t>
            </w:r>
          </w:p>
        </w:tc>
      </w:tr>
      <w:tr w:rsidR="00536FE5" w:rsidRPr="007067AE" w:rsidTr="00974BD5">
        <w:trPr>
          <w:trHeight w:val="461"/>
        </w:trPr>
        <w:tc>
          <w:tcPr>
            <w:tcW w:w="13184" w:type="dxa"/>
            <w:gridSpan w:val="5"/>
          </w:tcPr>
          <w:p w:rsidR="00536FE5" w:rsidRDefault="00536FE5" w:rsidP="00536FE5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536FE5" w:rsidRPr="007067AE" w:rsidRDefault="00536FE5" w:rsidP="00B33E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B33EC0">
              <w:rPr>
                <w:bCs/>
                <w:sz w:val="22"/>
                <w:szCs w:val="22"/>
              </w:rPr>
              <w:t>предложения не поступали</w:t>
            </w:r>
            <w:r w:rsidRPr="00576B65">
              <w:rPr>
                <w:bCs/>
                <w:sz w:val="22"/>
                <w:szCs w:val="22"/>
              </w:rPr>
              <w:t>)</w:t>
            </w: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10"/>
      <w:footerReference w:type="default" r:id="rId11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D08" w:rsidRDefault="00932D08" w:rsidP="00E97949">
      <w:r>
        <w:separator/>
      </w:r>
    </w:p>
  </w:endnote>
  <w:endnote w:type="continuationSeparator" w:id="0">
    <w:p w:rsidR="00932D08" w:rsidRDefault="00932D08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E46B13" w:rsidRPr="00E46B13">
      <w:rPr>
        <w:sz w:val="20"/>
      </w:rPr>
      <w:t>8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7E7B2B" w:rsidRPr="007E7B2B">
      <w:rPr>
        <w:sz w:val="20"/>
      </w:rPr>
      <w:t>6</w:t>
    </w:r>
    <w:r w:rsidRPr="002B7D5D">
      <w:rPr>
        <w:sz w:val="20"/>
      </w:rPr>
      <w:t>-20</w:t>
    </w:r>
    <w:r w:rsidR="00694637">
      <w:rPr>
        <w:sz w:val="20"/>
      </w:rPr>
      <w:t>2</w:t>
    </w:r>
    <w:r w:rsidR="00B33EC0">
      <w:rPr>
        <w:sz w:val="20"/>
      </w:rPr>
      <w:t>2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D08" w:rsidRDefault="00932D08" w:rsidP="00E97949">
      <w:r>
        <w:separator/>
      </w:r>
    </w:p>
  </w:footnote>
  <w:footnote w:type="continuationSeparator" w:id="0">
    <w:p w:rsidR="00932D08" w:rsidRDefault="00932D08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AEE54EF"/>
    <w:multiLevelType w:val="hybridMultilevel"/>
    <w:tmpl w:val="EF8A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8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07725"/>
    <w:rsid w:val="000266D1"/>
    <w:rsid w:val="00033BF5"/>
    <w:rsid w:val="00080994"/>
    <w:rsid w:val="00082001"/>
    <w:rsid w:val="00084328"/>
    <w:rsid w:val="000856C3"/>
    <w:rsid w:val="000974DC"/>
    <w:rsid w:val="000B3035"/>
    <w:rsid w:val="000E0B5C"/>
    <w:rsid w:val="000F2B54"/>
    <w:rsid w:val="00101BE8"/>
    <w:rsid w:val="00115673"/>
    <w:rsid w:val="00124235"/>
    <w:rsid w:val="00131F80"/>
    <w:rsid w:val="00136631"/>
    <w:rsid w:val="00140E0F"/>
    <w:rsid w:val="00146689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5B60"/>
    <w:rsid w:val="001E471F"/>
    <w:rsid w:val="001F799B"/>
    <w:rsid w:val="00224FDC"/>
    <w:rsid w:val="002315F8"/>
    <w:rsid w:val="0023350C"/>
    <w:rsid w:val="00261179"/>
    <w:rsid w:val="0027652B"/>
    <w:rsid w:val="002903C2"/>
    <w:rsid w:val="0029653A"/>
    <w:rsid w:val="002C2208"/>
    <w:rsid w:val="002C6EB1"/>
    <w:rsid w:val="00321A79"/>
    <w:rsid w:val="00330090"/>
    <w:rsid w:val="00331715"/>
    <w:rsid w:val="00356644"/>
    <w:rsid w:val="00365094"/>
    <w:rsid w:val="00381135"/>
    <w:rsid w:val="00383D6F"/>
    <w:rsid w:val="00383F66"/>
    <w:rsid w:val="003A3A10"/>
    <w:rsid w:val="003B160D"/>
    <w:rsid w:val="003B3E93"/>
    <w:rsid w:val="003E3A7D"/>
    <w:rsid w:val="003F33CC"/>
    <w:rsid w:val="00405197"/>
    <w:rsid w:val="004057F8"/>
    <w:rsid w:val="00413336"/>
    <w:rsid w:val="00415083"/>
    <w:rsid w:val="004266EC"/>
    <w:rsid w:val="004624B1"/>
    <w:rsid w:val="004710B1"/>
    <w:rsid w:val="004A1BFC"/>
    <w:rsid w:val="004B510C"/>
    <w:rsid w:val="004C22BD"/>
    <w:rsid w:val="004C46F6"/>
    <w:rsid w:val="004C6E88"/>
    <w:rsid w:val="004C7580"/>
    <w:rsid w:val="004D1FA2"/>
    <w:rsid w:val="004E1E40"/>
    <w:rsid w:val="00515BE1"/>
    <w:rsid w:val="0051739F"/>
    <w:rsid w:val="00526D1E"/>
    <w:rsid w:val="00536FE5"/>
    <w:rsid w:val="00547EDC"/>
    <w:rsid w:val="005735D7"/>
    <w:rsid w:val="0058700B"/>
    <w:rsid w:val="005B7629"/>
    <w:rsid w:val="005C0C43"/>
    <w:rsid w:val="005D6941"/>
    <w:rsid w:val="00645963"/>
    <w:rsid w:val="00694637"/>
    <w:rsid w:val="006B1955"/>
    <w:rsid w:val="006C614D"/>
    <w:rsid w:val="006C7D5B"/>
    <w:rsid w:val="006D0289"/>
    <w:rsid w:val="006E2576"/>
    <w:rsid w:val="006F0B69"/>
    <w:rsid w:val="006F5096"/>
    <w:rsid w:val="006F65A7"/>
    <w:rsid w:val="007512FC"/>
    <w:rsid w:val="0077681A"/>
    <w:rsid w:val="007932B0"/>
    <w:rsid w:val="007B604B"/>
    <w:rsid w:val="007C29D0"/>
    <w:rsid w:val="007C5EFB"/>
    <w:rsid w:val="007D6365"/>
    <w:rsid w:val="007E7B2B"/>
    <w:rsid w:val="007F5565"/>
    <w:rsid w:val="007F7782"/>
    <w:rsid w:val="00804804"/>
    <w:rsid w:val="008103CE"/>
    <w:rsid w:val="0083566B"/>
    <w:rsid w:val="00837E7C"/>
    <w:rsid w:val="0084029E"/>
    <w:rsid w:val="00843AC1"/>
    <w:rsid w:val="008514EE"/>
    <w:rsid w:val="00854451"/>
    <w:rsid w:val="00857822"/>
    <w:rsid w:val="008611A4"/>
    <w:rsid w:val="0087061E"/>
    <w:rsid w:val="008964F7"/>
    <w:rsid w:val="008975C0"/>
    <w:rsid w:val="008A3C30"/>
    <w:rsid w:val="008A6945"/>
    <w:rsid w:val="008B46D3"/>
    <w:rsid w:val="008B721D"/>
    <w:rsid w:val="008C79AC"/>
    <w:rsid w:val="009006FD"/>
    <w:rsid w:val="00922FF7"/>
    <w:rsid w:val="009251C5"/>
    <w:rsid w:val="00931321"/>
    <w:rsid w:val="00932D08"/>
    <w:rsid w:val="00933933"/>
    <w:rsid w:val="00942379"/>
    <w:rsid w:val="0094587E"/>
    <w:rsid w:val="009476BD"/>
    <w:rsid w:val="00956934"/>
    <w:rsid w:val="009674C5"/>
    <w:rsid w:val="0098531C"/>
    <w:rsid w:val="009A6D8C"/>
    <w:rsid w:val="009B3615"/>
    <w:rsid w:val="009B3BA8"/>
    <w:rsid w:val="009B6A0E"/>
    <w:rsid w:val="009F59BC"/>
    <w:rsid w:val="00A279B4"/>
    <w:rsid w:val="00A32EEC"/>
    <w:rsid w:val="00A46A1F"/>
    <w:rsid w:val="00A621C2"/>
    <w:rsid w:val="00A72820"/>
    <w:rsid w:val="00AA3A03"/>
    <w:rsid w:val="00AB150F"/>
    <w:rsid w:val="00AC0442"/>
    <w:rsid w:val="00AC0D84"/>
    <w:rsid w:val="00AC5A80"/>
    <w:rsid w:val="00AE7A8E"/>
    <w:rsid w:val="00AF18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C01D25"/>
    <w:rsid w:val="00C52C81"/>
    <w:rsid w:val="00C75524"/>
    <w:rsid w:val="00C93929"/>
    <w:rsid w:val="00CA1BB3"/>
    <w:rsid w:val="00CC354E"/>
    <w:rsid w:val="00CE4100"/>
    <w:rsid w:val="00D129F5"/>
    <w:rsid w:val="00D14137"/>
    <w:rsid w:val="00D33C20"/>
    <w:rsid w:val="00D37716"/>
    <w:rsid w:val="00D64A4E"/>
    <w:rsid w:val="00D71EF2"/>
    <w:rsid w:val="00D753BF"/>
    <w:rsid w:val="00D82B41"/>
    <w:rsid w:val="00DA032A"/>
    <w:rsid w:val="00DD4665"/>
    <w:rsid w:val="00DD4F4C"/>
    <w:rsid w:val="00E30B5E"/>
    <w:rsid w:val="00E43731"/>
    <w:rsid w:val="00E46B13"/>
    <w:rsid w:val="00E53261"/>
    <w:rsid w:val="00E5498D"/>
    <w:rsid w:val="00E57BB0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547A"/>
    <w:rsid w:val="00F27F5E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tis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pti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D9383-CF0A-4052-A46D-57AF6A5A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42</cp:revision>
  <dcterms:created xsi:type="dcterms:W3CDTF">2019-09-16T08:15:00Z</dcterms:created>
  <dcterms:modified xsi:type="dcterms:W3CDTF">2022-10-24T11:52:00Z</dcterms:modified>
</cp:coreProperties>
</file>